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D6AD" w14:textId="30F3109E" w:rsidR="00366ECD" w:rsidRDefault="00366ECD" w:rsidP="00387F7D">
      <w:pPr>
        <w:jc w:val="center"/>
      </w:pPr>
      <w:r w:rsidRPr="00366ECD">
        <w:t xml:space="preserve">Skrypt do prezentacji z </w:t>
      </w:r>
      <w:proofErr w:type="spellStart"/>
      <w:r w:rsidRPr="00366ECD">
        <w:t>webinaru</w:t>
      </w:r>
      <w:proofErr w:type="spellEnd"/>
      <w:r w:rsidRPr="00366ECD">
        <w:t xml:space="preserve"> numer </w:t>
      </w:r>
      <w:r>
        <w:t>3</w:t>
      </w:r>
      <w:r w:rsidRPr="00366ECD">
        <w:t xml:space="preserve"> w ramach projektu ZYSK Z DOSTĘPNOŚCI (</w:t>
      </w:r>
      <w:r>
        <w:t>18.12</w:t>
      </w:r>
      <w:r w:rsidRPr="00366ECD">
        <w:t>.2025)</w:t>
      </w:r>
    </w:p>
    <w:p w14:paraId="523DFEC3" w14:textId="77777777" w:rsidR="00366ECD" w:rsidRPr="00366ECD" w:rsidRDefault="00366ECD" w:rsidP="00366ECD">
      <w:pPr>
        <w:pStyle w:val="Nagwek1"/>
        <w:rPr>
          <w:sz w:val="28"/>
          <w:szCs w:val="28"/>
        </w:rPr>
      </w:pPr>
      <w:r w:rsidRPr="00366ECD">
        <w:rPr>
          <w:sz w:val="28"/>
          <w:szCs w:val="28"/>
        </w:rPr>
        <w:t>Slajd 1</w:t>
      </w:r>
    </w:p>
    <w:p w14:paraId="377F9A75" w14:textId="7B266B2D" w:rsidR="003974C6" w:rsidRPr="003974C6" w:rsidRDefault="00E81A73" w:rsidP="00387F7D">
      <w:pPr>
        <w:spacing w:line="360" w:lineRule="auto"/>
      </w:pPr>
      <w:r>
        <w:t>Dziś porozmawiamy</w:t>
      </w:r>
      <w:r w:rsidRPr="00E81A73">
        <w:t xml:space="preserve"> o dostępności informacyjno-komunikacyjnej</w:t>
      </w:r>
      <w:r>
        <w:t>, także</w:t>
      </w:r>
      <w:r w:rsidRPr="00E81A73">
        <w:t xml:space="preserve"> w kontekście firm</w:t>
      </w:r>
      <w:r>
        <w:t xml:space="preserve"> z sektora MŚP</w:t>
      </w:r>
      <w:r w:rsidRPr="00E81A73">
        <w:t xml:space="preserve">. Bardzo często dostępność kojarzy się wyłącznie z administracją publiczną. </w:t>
      </w:r>
      <w:r w:rsidR="000409B0">
        <w:t xml:space="preserve">Słusznie, ponieważ dostępność informacyjno-komunikacyjna jest wymagana ustawą, jest monitorowana i raportowana. Podlega audytowaniu w podmiotach publicznych. </w:t>
      </w:r>
      <w:r w:rsidRPr="00E81A73">
        <w:t>Tymczasem coraz wyraźniej widzimy, że dostępność to nie tylko obowiązek prawny, ale realny zysk biznesowy</w:t>
      </w:r>
      <w:r w:rsidR="000409B0">
        <w:t xml:space="preserve"> dla firm</w:t>
      </w:r>
      <w:r w:rsidRPr="00E81A73">
        <w:t>: większe grono klientów, lepsza obsługa, mniej reklamacji i większe zaufanie do marki.</w:t>
      </w:r>
      <w:r w:rsidR="003974C6" w:rsidRPr="003974C6">
        <w:t xml:space="preserve"> Dziś coraz wyraźniej widać, że regulacje, standardy i oczekiwania rynkowe przesuwają się w stronę firm prywatnych.</w:t>
      </w:r>
    </w:p>
    <w:p w14:paraId="35554189" w14:textId="77777777" w:rsidR="003974C6" w:rsidRPr="003974C6" w:rsidRDefault="003974C6" w:rsidP="00387F7D">
      <w:pPr>
        <w:spacing w:line="360" w:lineRule="auto"/>
      </w:pPr>
      <w:r w:rsidRPr="003974C6">
        <w:t>Dostępność przestaje być wyborem wizerunkowym, a zaczyna być elementem zarządzania ryzykiem, jakości i zgodności z prawem.</w:t>
      </w:r>
    </w:p>
    <w:p w14:paraId="2C4B24CB" w14:textId="7EE55CAE" w:rsidR="000409B0" w:rsidRPr="00366ECD" w:rsidRDefault="000409B0" w:rsidP="000409B0">
      <w:pPr>
        <w:pStyle w:val="Nagwek1"/>
        <w:rPr>
          <w:sz w:val="28"/>
          <w:szCs w:val="28"/>
        </w:rPr>
      </w:pPr>
      <w:r w:rsidRPr="00366ECD">
        <w:rPr>
          <w:sz w:val="28"/>
          <w:szCs w:val="28"/>
        </w:rPr>
        <w:t xml:space="preserve">Slajd </w:t>
      </w:r>
      <w:r>
        <w:rPr>
          <w:sz w:val="28"/>
          <w:szCs w:val="28"/>
        </w:rPr>
        <w:t>2</w:t>
      </w:r>
    </w:p>
    <w:p w14:paraId="5E1ECFA3" w14:textId="30B3A850" w:rsidR="000409B0" w:rsidRPr="000409B0" w:rsidRDefault="000409B0" w:rsidP="00387F7D">
      <w:pPr>
        <w:spacing w:line="360" w:lineRule="auto"/>
      </w:pPr>
      <w:r w:rsidRPr="000409B0">
        <w:t>Dostępność informacyjno-komunikacyjna to przede wszystkim sposób, w jaki przekazujemy informacje i komunikujemy się z klientami.</w:t>
      </w:r>
      <w:r w:rsidRPr="000409B0">
        <w:br/>
        <w:t>Chodzi o to, aby informacje były jasne, zrozumiałe i możliwe do odebrania przez jak najszersze grono odbiorców.</w:t>
      </w:r>
    </w:p>
    <w:p w14:paraId="5F1090E8" w14:textId="77777777" w:rsidR="000409B0" w:rsidRPr="000409B0" w:rsidRDefault="000409B0" w:rsidP="00387F7D">
      <w:pPr>
        <w:spacing w:line="360" w:lineRule="auto"/>
      </w:pPr>
      <w:r w:rsidRPr="000409B0">
        <w:t>W praktyce oznacza to dwa elementy.</w:t>
      </w:r>
      <w:r w:rsidRPr="000409B0">
        <w:br/>
        <w:t>Po pierwsze: treść – czyli język, forma, struktura informacji.</w:t>
      </w:r>
      <w:r w:rsidRPr="000409B0">
        <w:br/>
        <w:t>Po drugie: kanały komunikacji – czyli to, czy klient może wybrać sposób kontaktu, który jest dla niego wygodny i możliwy.</w:t>
      </w:r>
    </w:p>
    <w:p w14:paraId="1993F551" w14:textId="77777777" w:rsidR="000409B0" w:rsidRDefault="000409B0" w:rsidP="00387F7D">
      <w:pPr>
        <w:spacing w:line="360" w:lineRule="auto"/>
      </w:pPr>
      <w:r w:rsidRPr="000409B0">
        <w:t>To może być e-mail, telefon, formularz, czat, wiadomość tekstowa. Im większa elastyczność, tym większa dostępność.</w:t>
      </w:r>
    </w:p>
    <w:p w14:paraId="276860D0" w14:textId="77777777" w:rsidR="000409B0" w:rsidRPr="000409B0" w:rsidRDefault="000409B0" w:rsidP="00387F7D">
      <w:pPr>
        <w:spacing w:line="360" w:lineRule="auto"/>
      </w:pPr>
      <w:r w:rsidRPr="000409B0">
        <w:t>Kiedy mówimy o dostępności informacyjno-komunikacyjnej, mówimy tak naprawdę o codziennych sytuacjach. O tym, czy klient rozumie ofertę, czy potrafi się z firmą skontaktować, czy wie, co zrobić dalej i czy nie gubi się w procesie.</w:t>
      </w:r>
    </w:p>
    <w:p w14:paraId="1F6417DB" w14:textId="77777777" w:rsidR="000409B0" w:rsidRPr="000409B0" w:rsidRDefault="000409B0" w:rsidP="00387F7D">
      <w:pPr>
        <w:spacing w:line="360" w:lineRule="auto"/>
      </w:pPr>
      <w:r w:rsidRPr="000409B0">
        <w:lastRenderedPageBreak/>
        <w:t>W praktyce dostępność oznacza, że firma nie zakłada jednego „idealnego” klienta, który wszystko widzi, słyszy, rozumie i ma czas. Zakłada natomiast, że klienci są różni – i projektuje komunikację tak, aby jak najwięcej osób mogło z niej skorzystać.</w:t>
      </w:r>
    </w:p>
    <w:p w14:paraId="5FEC7F14" w14:textId="0F57EF8E" w:rsidR="000409B0" w:rsidRPr="00E81A73" w:rsidRDefault="000409B0" w:rsidP="00E81A73">
      <w:pPr>
        <w:rPr>
          <w:rFonts w:asciiTheme="majorHAnsi" w:eastAsiaTheme="majorEastAsia" w:hAnsiTheme="majorHAnsi" w:cstheme="majorBidi"/>
          <w:color w:val="0F4761" w:themeColor="accent1" w:themeShade="BF"/>
          <w:sz w:val="28"/>
          <w:szCs w:val="28"/>
        </w:rPr>
      </w:pPr>
      <w:r w:rsidRPr="000409B0">
        <w:rPr>
          <w:rFonts w:asciiTheme="majorHAnsi" w:eastAsiaTheme="majorEastAsia" w:hAnsiTheme="majorHAnsi" w:cstheme="majorBidi"/>
          <w:color w:val="0F4761" w:themeColor="accent1" w:themeShade="BF"/>
          <w:sz w:val="28"/>
          <w:szCs w:val="28"/>
        </w:rPr>
        <w:t>Slajd 3</w:t>
      </w:r>
    </w:p>
    <w:p w14:paraId="4B07A7A3" w14:textId="77777777" w:rsidR="000409B0" w:rsidRDefault="000409B0" w:rsidP="00387F7D">
      <w:pPr>
        <w:spacing w:line="360" w:lineRule="auto"/>
      </w:pPr>
      <w:r w:rsidRPr="000409B0">
        <w:t>Bardzo często, gdy mówimy o dostępności, myślimy wyłącznie o osobach z niepełnosprawnościami. Tymczasem dostępność działa znacznie szerzej.</w:t>
      </w:r>
    </w:p>
    <w:p w14:paraId="04926CD6" w14:textId="470CA44B" w:rsidR="000409B0" w:rsidRPr="000409B0" w:rsidRDefault="000409B0" w:rsidP="000409B0">
      <w:r w:rsidRPr="000409B0">
        <w:t>Korzystają z niej także:</w:t>
      </w:r>
    </w:p>
    <w:p w14:paraId="0066069E" w14:textId="6B9A9822" w:rsidR="000409B0" w:rsidRPr="000409B0" w:rsidRDefault="000409B0" w:rsidP="000409B0">
      <w:pPr>
        <w:numPr>
          <w:ilvl w:val="0"/>
          <w:numId w:val="1"/>
        </w:numPr>
      </w:pPr>
      <w:r w:rsidRPr="000409B0">
        <w:t>osoby starsze,</w:t>
      </w:r>
      <w:r>
        <w:t xml:space="preserve"> </w:t>
      </w:r>
      <w:r w:rsidRPr="000409B0">
        <w:t>które wolniej przetwarzają informacje</w:t>
      </w:r>
      <w:r>
        <w:t>,</w:t>
      </w:r>
    </w:p>
    <w:p w14:paraId="651889B4" w14:textId="77777777" w:rsidR="000409B0" w:rsidRPr="000409B0" w:rsidRDefault="000409B0" w:rsidP="000409B0">
      <w:pPr>
        <w:numPr>
          <w:ilvl w:val="0"/>
          <w:numId w:val="1"/>
        </w:numPr>
      </w:pPr>
      <w:r w:rsidRPr="000409B0">
        <w:t>osoby zmęczone lub zestresowane,</w:t>
      </w:r>
    </w:p>
    <w:p w14:paraId="7967A1F8" w14:textId="77777777" w:rsidR="000409B0" w:rsidRPr="000409B0" w:rsidRDefault="000409B0" w:rsidP="000409B0">
      <w:pPr>
        <w:numPr>
          <w:ilvl w:val="0"/>
          <w:numId w:val="1"/>
        </w:numPr>
      </w:pPr>
      <w:r w:rsidRPr="000409B0">
        <w:t>klienci, którzy nie znają specjalistycznego języka,</w:t>
      </w:r>
    </w:p>
    <w:p w14:paraId="17BD9EAF" w14:textId="77777777" w:rsidR="000409B0" w:rsidRPr="000409B0" w:rsidRDefault="000409B0" w:rsidP="000409B0">
      <w:pPr>
        <w:numPr>
          <w:ilvl w:val="0"/>
          <w:numId w:val="1"/>
        </w:numPr>
      </w:pPr>
      <w:r w:rsidRPr="000409B0">
        <w:t>osoby obcojęzyczne,</w:t>
      </w:r>
    </w:p>
    <w:p w14:paraId="607D4F27" w14:textId="77777777" w:rsidR="000409B0" w:rsidRPr="000409B0" w:rsidRDefault="000409B0" w:rsidP="000409B0">
      <w:pPr>
        <w:numPr>
          <w:ilvl w:val="0"/>
          <w:numId w:val="1"/>
        </w:numPr>
      </w:pPr>
      <w:r w:rsidRPr="000409B0">
        <w:t>rodzice z dziećmi,</w:t>
      </w:r>
    </w:p>
    <w:p w14:paraId="4252721F" w14:textId="77777777" w:rsidR="000409B0" w:rsidRPr="000409B0" w:rsidRDefault="000409B0" w:rsidP="000409B0">
      <w:pPr>
        <w:numPr>
          <w:ilvl w:val="0"/>
          <w:numId w:val="1"/>
        </w:numPr>
      </w:pPr>
      <w:r w:rsidRPr="000409B0">
        <w:t>osoby korzystające z telefonu jedną ręką lub w trudnych warunkach.</w:t>
      </w:r>
    </w:p>
    <w:p w14:paraId="6FF0D8C4" w14:textId="77777777" w:rsidR="000409B0" w:rsidRPr="000409B0" w:rsidRDefault="000409B0" w:rsidP="000409B0">
      <w:r w:rsidRPr="000409B0">
        <w:t xml:space="preserve">Dostępność to po prostu projektowanie komunikacji tak, aby była </w:t>
      </w:r>
      <w:r w:rsidRPr="000409B0">
        <w:rPr>
          <w:b/>
          <w:bCs/>
        </w:rPr>
        <w:t>ludzka i wygodna</w:t>
      </w:r>
      <w:r w:rsidRPr="000409B0">
        <w:t>.</w:t>
      </w:r>
    </w:p>
    <w:p w14:paraId="205000A0" w14:textId="3634FA6B" w:rsidR="000409B0" w:rsidRPr="00E81A73" w:rsidRDefault="000409B0" w:rsidP="000409B0">
      <w:pPr>
        <w:rPr>
          <w:rFonts w:asciiTheme="majorHAnsi" w:eastAsiaTheme="majorEastAsia" w:hAnsiTheme="majorHAnsi" w:cstheme="majorBidi"/>
          <w:color w:val="0F4761" w:themeColor="accent1" w:themeShade="BF"/>
          <w:sz w:val="28"/>
          <w:szCs w:val="28"/>
        </w:rPr>
      </w:pPr>
      <w:r w:rsidRPr="000409B0">
        <w:rPr>
          <w:rFonts w:asciiTheme="majorHAnsi" w:eastAsiaTheme="majorEastAsia" w:hAnsiTheme="majorHAnsi" w:cstheme="majorBidi"/>
          <w:color w:val="0F4761" w:themeColor="accent1" w:themeShade="BF"/>
          <w:sz w:val="28"/>
          <w:szCs w:val="28"/>
        </w:rPr>
        <w:t>Slajd</w:t>
      </w:r>
      <w:r w:rsidR="00645EBC">
        <w:rPr>
          <w:rFonts w:asciiTheme="majorHAnsi" w:eastAsiaTheme="majorEastAsia" w:hAnsiTheme="majorHAnsi" w:cstheme="majorBidi"/>
          <w:color w:val="0F4761" w:themeColor="accent1" w:themeShade="BF"/>
          <w:sz w:val="28"/>
          <w:szCs w:val="28"/>
        </w:rPr>
        <w:t xml:space="preserve"> 4</w:t>
      </w:r>
    </w:p>
    <w:p w14:paraId="5624B184" w14:textId="05F9C08F" w:rsidR="00017AE5" w:rsidRDefault="00645EBC" w:rsidP="00387F7D">
      <w:pPr>
        <w:spacing w:line="360" w:lineRule="auto"/>
      </w:pPr>
      <w:r>
        <w:t>U</w:t>
      </w:r>
      <w:r w:rsidR="000409B0" w:rsidRPr="000409B0">
        <w:t>staw</w:t>
      </w:r>
      <w:r>
        <w:t>a</w:t>
      </w:r>
      <w:r w:rsidR="000409B0" w:rsidRPr="000409B0">
        <w:t xml:space="preserve"> z 19 lipca 2019 roku o zapewnianiu dostępności osobom ze szczególnymi potrzebami</w:t>
      </w:r>
      <w:r>
        <w:t xml:space="preserve"> wymienia trzy obszary dostępności: architektoniczną, cyfrową i właśnie informacyjno-komunikacyjną. Dwa pierwsze obszary omówiliśmy na poprzednich </w:t>
      </w:r>
      <w:proofErr w:type="spellStart"/>
      <w:r>
        <w:t>webinarach</w:t>
      </w:r>
      <w:proofErr w:type="spellEnd"/>
      <w:r>
        <w:t>.</w:t>
      </w:r>
    </w:p>
    <w:p w14:paraId="15A85C85" w14:textId="69F33D2C" w:rsidR="000409B0" w:rsidRPr="000409B0" w:rsidRDefault="000409B0" w:rsidP="00387F7D">
      <w:pPr>
        <w:spacing w:line="360" w:lineRule="auto"/>
      </w:pPr>
      <w:r w:rsidRPr="000409B0">
        <w:t>Formalnie ustawa ta dotyczy podmiotów publicznych, ale dla firm prywatnych jest niezwykle istotna.</w:t>
      </w:r>
    </w:p>
    <w:p w14:paraId="460864EC" w14:textId="390574D1" w:rsidR="00645EBC" w:rsidRDefault="000409B0" w:rsidP="00387F7D">
      <w:pPr>
        <w:spacing w:after="0" w:line="360" w:lineRule="auto"/>
      </w:pPr>
      <w:r w:rsidRPr="000409B0">
        <w:t>Dlaczego? Ponieważ wyznacza standardy. Pokazuje, jakie są oczekiwania wobec instytucji i organizacji w zakresie komunikacji z klientami. Mówi o konieczności zapewnienia różnych kanałów kontaktu i możliwości dostosowania formy komunikacji do potrzeb konkretnej osoby.</w:t>
      </w:r>
      <w:r w:rsidR="00645EBC">
        <w:t xml:space="preserve"> Klienci mogą rozmawiać z pracownikami lub pisać przez:</w:t>
      </w:r>
    </w:p>
    <w:p w14:paraId="76F2235E" w14:textId="215F43C7" w:rsidR="000409B0" w:rsidRDefault="00645EBC" w:rsidP="00387F7D">
      <w:pPr>
        <w:spacing w:after="0" w:line="360" w:lineRule="auto"/>
      </w:pPr>
      <w:r>
        <w:t xml:space="preserve">telefon, e-mail , </w:t>
      </w:r>
      <w:proofErr w:type="spellStart"/>
      <w:r>
        <w:t>esemesa</w:t>
      </w:r>
      <w:proofErr w:type="spellEnd"/>
      <w:r>
        <w:t xml:space="preserve"> i </w:t>
      </w:r>
      <w:proofErr w:type="spellStart"/>
      <w:r>
        <w:t>ememesa</w:t>
      </w:r>
      <w:proofErr w:type="spellEnd"/>
      <w:r>
        <w:t>, czat, komunikator.</w:t>
      </w:r>
    </w:p>
    <w:p w14:paraId="79D6DCDC" w14:textId="77777777" w:rsidR="00645EBC" w:rsidRPr="000409B0" w:rsidRDefault="00645EBC" w:rsidP="00387F7D">
      <w:pPr>
        <w:spacing w:after="0" w:line="360" w:lineRule="auto"/>
      </w:pPr>
    </w:p>
    <w:p w14:paraId="4243D12C" w14:textId="77777777" w:rsidR="000409B0" w:rsidRDefault="000409B0" w:rsidP="00387F7D">
      <w:pPr>
        <w:spacing w:line="360" w:lineRule="auto"/>
      </w:pPr>
      <w:r w:rsidRPr="000409B0">
        <w:t xml:space="preserve">Firmy prywatne bardzo często współpracują z sektorem publicznym, startują w przetargach albo obsługują klientów, którzy korzystają także z usług publicznych. Te </w:t>
      </w:r>
      <w:r w:rsidRPr="000409B0">
        <w:lastRenderedPageBreak/>
        <w:t>same osoby oczekują podobnego standardu komunikacji również w firmach komercyjnych.</w:t>
      </w:r>
    </w:p>
    <w:p w14:paraId="67892FD8" w14:textId="7D3D1674" w:rsidR="00017AE5" w:rsidRPr="000409B0" w:rsidRDefault="00017AE5" w:rsidP="00387F7D">
      <w:pPr>
        <w:spacing w:line="360" w:lineRule="auto"/>
      </w:pPr>
      <w:r>
        <w:t xml:space="preserve">Źródło: </w:t>
      </w:r>
      <w:hyperlink r:id="rId5" w:history="1">
        <w:r w:rsidRPr="00263869">
          <w:rPr>
            <w:rStyle w:val="Hipercze"/>
          </w:rPr>
          <w:t>Ustawa z 19 lipca 2019 roku o zapewnianiu dostępności osobom ze szczególnymi potrzebami</w:t>
        </w:r>
      </w:hyperlink>
    </w:p>
    <w:p w14:paraId="55CEE1E8" w14:textId="3730264E" w:rsidR="000409B0" w:rsidRPr="00E81A73" w:rsidRDefault="000409B0" w:rsidP="000409B0">
      <w:pPr>
        <w:rPr>
          <w:rFonts w:asciiTheme="majorHAnsi" w:eastAsiaTheme="majorEastAsia" w:hAnsiTheme="majorHAnsi" w:cstheme="majorBidi"/>
          <w:color w:val="0F4761" w:themeColor="accent1" w:themeShade="BF"/>
          <w:sz w:val="28"/>
          <w:szCs w:val="28"/>
        </w:rPr>
      </w:pPr>
      <w:r w:rsidRPr="000409B0">
        <w:rPr>
          <w:rFonts w:asciiTheme="majorHAnsi" w:eastAsiaTheme="majorEastAsia" w:hAnsiTheme="majorHAnsi" w:cstheme="majorBidi"/>
          <w:color w:val="0F4761" w:themeColor="accent1" w:themeShade="BF"/>
          <w:sz w:val="28"/>
          <w:szCs w:val="28"/>
        </w:rPr>
        <w:t xml:space="preserve">Slajd </w:t>
      </w:r>
      <w:r w:rsidR="00645EBC">
        <w:rPr>
          <w:rFonts w:asciiTheme="majorHAnsi" w:eastAsiaTheme="majorEastAsia" w:hAnsiTheme="majorHAnsi" w:cstheme="majorBidi"/>
          <w:color w:val="0F4761" w:themeColor="accent1" w:themeShade="BF"/>
          <w:sz w:val="28"/>
          <w:szCs w:val="28"/>
        </w:rPr>
        <w:t>5</w:t>
      </w:r>
    </w:p>
    <w:p w14:paraId="566B9DE8" w14:textId="17A22119" w:rsidR="00645EBC" w:rsidRPr="00645EBC" w:rsidRDefault="00645EBC" w:rsidP="00387F7D">
      <w:pPr>
        <w:spacing w:line="360" w:lineRule="auto"/>
      </w:pPr>
      <w:r w:rsidRPr="00645EBC">
        <w:t xml:space="preserve">Na tym slajdzie widzimy </w:t>
      </w:r>
      <w:r>
        <w:t>kolejne wymagane ustawą</w:t>
      </w:r>
      <w:r w:rsidRPr="00645EBC">
        <w:t xml:space="preserve"> rozwiązania: </w:t>
      </w:r>
      <w:r>
        <w:t xml:space="preserve">musi być możliwa </w:t>
      </w:r>
      <w:r w:rsidRPr="00645EBC">
        <w:t>obsługa klientów z wykorzystaniem środków wspierających komunikowanie się lub przez wykorzystanie zdalnego dostępu online do usługi tłumacza przez strony internetowe i aplikacje</w:t>
      </w:r>
      <w:r>
        <w:t xml:space="preserve">. Ponadto, wymagana jest </w:t>
      </w:r>
      <w:r w:rsidRPr="00645EBC">
        <w:t>obecność oraz prawidłowe funkcjonowanie urządzeń lub innych środków technicznych do obsługi osób słabosłyszących, w szczególności pętli indukcyjnych, systemów FM lub urządzeń opartych o inne technologie, których celem jest wspomaganie słyszenia</w:t>
      </w:r>
      <w:r>
        <w:t>.</w:t>
      </w:r>
    </w:p>
    <w:p w14:paraId="300D2412" w14:textId="4D062018" w:rsidR="00645EBC" w:rsidRDefault="00645EBC" w:rsidP="00387F7D">
      <w:pPr>
        <w:spacing w:line="360" w:lineRule="auto"/>
      </w:pPr>
      <w:r w:rsidRPr="00645EBC">
        <w:t xml:space="preserve">Dla wielu firm </w:t>
      </w:r>
      <w:r>
        <w:t xml:space="preserve">takie rozwiązania </w:t>
      </w:r>
      <w:r w:rsidRPr="00645EBC">
        <w:t>mogą wydawać się odległe, ale warto spojrzeć na nie jako na kierunek zmian.</w:t>
      </w:r>
    </w:p>
    <w:p w14:paraId="0618F593" w14:textId="128C0984" w:rsidR="00645EBC" w:rsidRPr="00E81A73" w:rsidRDefault="00645EBC" w:rsidP="00645EBC">
      <w:pPr>
        <w:rPr>
          <w:rFonts w:asciiTheme="majorHAnsi" w:eastAsiaTheme="majorEastAsia" w:hAnsiTheme="majorHAnsi" w:cstheme="majorBidi"/>
          <w:color w:val="0F4761" w:themeColor="accent1" w:themeShade="BF"/>
          <w:sz w:val="28"/>
          <w:szCs w:val="28"/>
        </w:rPr>
      </w:pPr>
      <w:r w:rsidRPr="000409B0">
        <w:rPr>
          <w:rFonts w:asciiTheme="majorHAnsi" w:eastAsiaTheme="majorEastAsia" w:hAnsiTheme="majorHAnsi" w:cstheme="majorBidi"/>
          <w:color w:val="0F4761" w:themeColor="accent1" w:themeShade="BF"/>
          <w:sz w:val="28"/>
          <w:szCs w:val="28"/>
        </w:rPr>
        <w:t>Slajd</w:t>
      </w:r>
      <w:r>
        <w:rPr>
          <w:rFonts w:asciiTheme="majorHAnsi" w:eastAsiaTheme="majorEastAsia" w:hAnsiTheme="majorHAnsi" w:cstheme="majorBidi"/>
          <w:color w:val="0F4761" w:themeColor="accent1" w:themeShade="BF"/>
          <w:sz w:val="28"/>
          <w:szCs w:val="28"/>
        </w:rPr>
        <w:t xml:space="preserve"> 6</w:t>
      </w:r>
    </w:p>
    <w:p w14:paraId="58B13C0A" w14:textId="745DBAA3" w:rsidR="00645EBC" w:rsidRPr="00645EBC" w:rsidRDefault="00645EBC" w:rsidP="00387F7D">
      <w:pPr>
        <w:spacing w:line="360" w:lineRule="auto"/>
      </w:pPr>
      <w:r w:rsidRPr="00645EBC">
        <w:t>Strona internetowa to często pierwsze i najważniejsze miejsce kontaktu klienta z</w:t>
      </w:r>
      <w:r>
        <w:t xml:space="preserve"> organizacją</w:t>
      </w:r>
      <w:r w:rsidRPr="00645EBC">
        <w:t>. Jeżeli informacje są na niej niejasn</w:t>
      </w:r>
      <w:r w:rsidR="00E92AB5">
        <w:t>9</w:t>
      </w:r>
      <w:r w:rsidRPr="00645EBC">
        <w:t>e, trudne do znalezienia albo napisane skomplikowanym językiem, klient bardzo szybko się zniechęca.</w:t>
      </w:r>
    </w:p>
    <w:p w14:paraId="59AA9BB3" w14:textId="2BED6485" w:rsidR="00645EBC" w:rsidRDefault="00645EBC" w:rsidP="00387F7D">
      <w:pPr>
        <w:spacing w:line="360" w:lineRule="auto"/>
      </w:pPr>
      <w:r>
        <w:t>Na stronie internetowej podmiotu publicznego powinny być informacje - czym zajmuje się podmiot publiczny, jakie sprawy można w nim załatwić. Informacje powinny być:</w:t>
      </w:r>
    </w:p>
    <w:p w14:paraId="0123F653" w14:textId="77777777" w:rsidR="00645EBC" w:rsidRDefault="00645EBC" w:rsidP="00387F7D">
      <w:pPr>
        <w:pStyle w:val="Akapitzlist"/>
        <w:numPr>
          <w:ilvl w:val="0"/>
          <w:numId w:val="3"/>
        </w:numPr>
        <w:spacing w:line="360" w:lineRule="auto"/>
      </w:pPr>
      <w:r>
        <w:t>w tekście łatwym do czytania i zrozumienia (</w:t>
      </w:r>
      <w:proofErr w:type="spellStart"/>
      <w:r>
        <w:t>Easy</w:t>
      </w:r>
      <w:proofErr w:type="spellEnd"/>
      <w:r>
        <w:t>-To-Read - ETR)</w:t>
      </w:r>
    </w:p>
    <w:p w14:paraId="5BAD8EE4" w14:textId="77777777" w:rsidR="00645EBC" w:rsidRDefault="00645EBC" w:rsidP="00387F7D">
      <w:pPr>
        <w:pStyle w:val="Akapitzlist"/>
        <w:numPr>
          <w:ilvl w:val="0"/>
          <w:numId w:val="3"/>
        </w:numPr>
        <w:spacing w:line="360" w:lineRule="auto"/>
      </w:pPr>
      <w:r>
        <w:t>w tekście odczytywalnym maszynowo (dla czytników ekranu).</w:t>
      </w:r>
    </w:p>
    <w:p w14:paraId="10443C3B" w14:textId="0220F22C" w:rsidR="00366ECD" w:rsidRDefault="00645EBC" w:rsidP="00387F7D">
      <w:pPr>
        <w:pStyle w:val="Akapitzlist"/>
        <w:numPr>
          <w:ilvl w:val="0"/>
          <w:numId w:val="3"/>
        </w:numPr>
        <w:spacing w:line="360" w:lineRule="auto"/>
      </w:pPr>
      <w:r>
        <w:t>dostępne w Polskim Języku Migowym (PJM).</w:t>
      </w:r>
    </w:p>
    <w:p w14:paraId="3CB3F6FA" w14:textId="6CA3838D" w:rsidR="00645EBC" w:rsidRDefault="00645EBC" w:rsidP="00645EBC">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7</w:t>
      </w:r>
    </w:p>
    <w:p w14:paraId="706D3330" w14:textId="4D490848" w:rsidR="00645EBC" w:rsidRPr="00645EBC" w:rsidRDefault="00645EBC" w:rsidP="00387F7D">
      <w:pPr>
        <w:spacing w:line="360" w:lineRule="auto"/>
      </w:pPr>
      <w:r>
        <w:t>T</w:t>
      </w:r>
      <w:r w:rsidRPr="00645EBC">
        <w:t>ekst łatwy do czytania i zrozumienia, czyli ETR</w:t>
      </w:r>
      <w:r w:rsidR="00E92AB5">
        <w:t xml:space="preserve"> (ang. </w:t>
      </w:r>
      <w:proofErr w:type="spellStart"/>
      <w:r w:rsidR="00E92AB5">
        <w:t>Easy</w:t>
      </w:r>
      <w:proofErr w:type="spellEnd"/>
      <w:r w:rsidR="00E92AB5">
        <w:t xml:space="preserve"> to Read)</w:t>
      </w:r>
      <w:r w:rsidRPr="00645EBC">
        <w:t>, to jedno z najbardziej praktycznych narzędzi dostępności informacyjnej. Jego celem jest przekazanie informacji w sposób prosty, jednoznaczny i uporządkowany.</w:t>
      </w:r>
    </w:p>
    <w:p w14:paraId="2851BBA4" w14:textId="77777777" w:rsidR="00645EBC" w:rsidRPr="00645EBC" w:rsidRDefault="00645EBC" w:rsidP="00387F7D">
      <w:pPr>
        <w:spacing w:line="360" w:lineRule="auto"/>
      </w:pPr>
      <w:r w:rsidRPr="00645EBC">
        <w:t>ETR pomaga osobom z niepełnosprawnością intelektualną, ale także osobom starszym, osobom z trudnościami w czytaniu czy klientom, którzy po prostu nie chcą tracić czasu na rozszyfrowywanie skomplikowanych komunikatów.</w:t>
      </w:r>
    </w:p>
    <w:p w14:paraId="79E4E398" w14:textId="27061DE7" w:rsidR="00D243F9" w:rsidRPr="00D243F9" w:rsidRDefault="00645EBC" w:rsidP="00387F7D">
      <w:pPr>
        <w:spacing w:line="360" w:lineRule="auto"/>
      </w:pPr>
      <w:r w:rsidRPr="00645EBC">
        <w:lastRenderedPageBreak/>
        <w:t>W firmach ETR świetnie sprawdza się w opisach usług, instrukcjach, mailach automatycznych czy informacjach o reklamacjach.</w:t>
      </w:r>
      <w:r w:rsidR="00D243F9">
        <w:t xml:space="preserve"> </w:t>
      </w:r>
      <w:r w:rsidR="00D243F9" w:rsidRPr="00D243F9">
        <w:t xml:space="preserve">Dobrze przygotowany tekst ETR </w:t>
      </w:r>
      <w:r w:rsidR="00D243F9">
        <w:t xml:space="preserve">może </w:t>
      </w:r>
      <w:r w:rsidR="00D243F9" w:rsidRPr="00D243F9">
        <w:t>zmniejsz</w:t>
      </w:r>
      <w:r w:rsidR="00D243F9">
        <w:t>yć</w:t>
      </w:r>
      <w:r w:rsidR="00D243F9" w:rsidRPr="00D243F9">
        <w:t xml:space="preserve"> liczbę zapytań i reklamacji.</w:t>
      </w:r>
    </w:p>
    <w:p w14:paraId="5790469F" w14:textId="696CB9D8" w:rsidR="00645EBC" w:rsidRDefault="00645EBC" w:rsidP="00645EBC">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8</w:t>
      </w:r>
    </w:p>
    <w:p w14:paraId="5CD4B1AA" w14:textId="00F28541" w:rsidR="00645EBC" w:rsidRDefault="00645EBC" w:rsidP="00387F7D">
      <w:pPr>
        <w:spacing w:line="360" w:lineRule="auto"/>
      </w:pPr>
      <w:r>
        <w:t>Europejskie standardy przygotowania tekstu łatwego do czytania i zrozumienia t</w:t>
      </w:r>
      <w:r w:rsidRPr="00645EBC">
        <w:t xml:space="preserve">o rozwiązanie stosowane w wielu krajach. </w:t>
      </w:r>
    </w:p>
    <w:p w14:paraId="1259F803" w14:textId="69270498" w:rsidR="008C3449" w:rsidRDefault="008C3449" w:rsidP="00387F7D">
      <w:pPr>
        <w:spacing w:line="360" w:lineRule="auto"/>
      </w:pPr>
      <w:r>
        <w:t>Standardy pomagają w przygotowaniu informacji łatwych do zrozumienia przeznaczonych dla:</w:t>
      </w:r>
    </w:p>
    <w:p w14:paraId="208C58DE" w14:textId="77777777" w:rsidR="008C3449" w:rsidRDefault="008C3449" w:rsidP="00387F7D">
      <w:pPr>
        <w:pStyle w:val="Akapitzlist"/>
        <w:numPr>
          <w:ilvl w:val="0"/>
          <w:numId w:val="4"/>
        </w:numPr>
        <w:spacing w:line="360" w:lineRule="auto"/>
      </w:pPr>
      <w:r>
        <w:t>osób niepełnosprawnym intelektualnie,</w:t>
      </w:r>
    </w:p>
    <w:p w14:paraId="433A04F4" w14:textId="77777777" w:rsidR="008C3449" w:rsidRDefault="008C3449" w:rsidP="00387F7D">
      <w:pPr>
        <w:pStyle w:val="Akapitzlist"/>
        <w:numPr>
          <w:ilvl w:val="0"/>
          <w:numId w:val="4"/>
        </w:numPr>
        <w:spacing w:line="360" w:lineRule="auto"/>
      </w:pPr>
      <w:r>
        <w:t>osób, dla których język polski nie jest językiem ojczystym,</w:t>
      </w:r>
    </w:p>
    <w:p w14:paraId="4BCCA736" w14:textId="23DCE959" w:rsidR="008C3449" w:rsidRPr="00645EBC" w:rsidRDefault="008C3449" w:rsidP="00387F7D">
      <w:pPr>
        <w:pStyle w:val="Akapitzlist"/>
        <w:numPr>
          <w:ilvl w:val="0"/>
          <w:numId w:val="4"/>
        </w:numPr>
        <w:spacing w:line="360" w:lineRule="auto"/>
      </w:pPr>
      <w:r>
        <w:t>osób, które mają trudności z czytaniem.</w:t>
      </w:r>
    </w:p>
    <w:p w14:paraId="66B0BA12" w14:textId="77777777" w:rsidR="00645EBC" w:rsidRDefault="00645EBC" w:rsidP="00387F7D">
      <w:pPr>
        <w:spacing w:line="360" w:lineRule="auto"/>
      </w:pPr>
      <w:r w:rsidRPr="00645EBC">
        <w:t>Dla firm działających międzynarodowo albo obsługujących zróżnicowanych klientów jest to ogromna wartość – komunikacja staje się bardziej uniwersalna.</w:t>
      </w:r>
    </w:p>
    <w:p w14:paraId="295CC18A" w14:textId="2D567C81" w:rsidR="00AA5A69" w:rsidRPr="00B052C9" w:rsidRDefault="00AA5A69" w:rsidP="00AA5A69">
      <w:pPr>
        <w:rPr>
          <w:rStyle w:val="Hipercze"/>
        </w:rPr>
      </w:pPr>
      <w:r w:rsidRPr="00AA5A69">
        <w:t xml:space="preserve">Źródło: </w:t>
      </w:r>
      <w:r w:rsidR="00B052C9">
        <w:fldChar w:fldCharType="begin"/>
      </w:r>
      <w:r w:rsidR="00B052C9">
        <w:instrText>HYPERLINK "https://www.inclusion-europe.eu/wp-content/uploads/2015/03/Informacja-dla-wszystkich-internet_0.pdf"</w:instrText>
      </w:r>
      <w:r w:rsidR="00B052C9">
        <w:fldChar w:fldCharType="separate"/>
      </w:r>
      <w:r w:rsidRPr="00B052C9">
        <w:rPr>
          <w:rStyle w:val="Hipercze"/>
        </w:rPr>
        <w:t>Informacja dla wszystkich. Europejskie standardy przygotowania</w:t>
      </w:r>
    </w:p>
    <w:p w14:paraId="667993BC" w14:textId="16F3386E" w:rsidR="00AA5A69" w:rsidRPr="00AA5A69" w:rsidRDefault="00AA5A69" w:rsidP="00AA5A69">
      <w:r w:rsidRPr="00B052C9">
        <w:rPr>
          <w:rStyle w:val="Hipercze"/>
        </w:rPr>
        <w:t>tekstu łatwego do czytania i zrozumienia</w:t>
      </w:r>
      <w:r w:rsidR="00B052C9">
        <w:fldChar w:fldCharType="end"/>
      </w:r>
    </w:p>
    <w:p w14:paraId="0C712804" w14:textId="0F8821D1" w:rsidR="008C3449" w:rsidRDefault="008C3449" w:rsidP="008C3449">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9</w:t>
      </w:r>
    </w:p>
    <w:p w14:paraId="350497DD" w14:textId="3CA1CF3B" w:rsidR="00B574BE" w:rsidRDefault="00B574BE" w:rsidP="00387F7D">
      <w:pPr>
        <w:spacing w:line="360" w:lineRule="auto"/>
      </w:pPr>
      <w:r>
        <w:t>Wytyczne ETR dotyczą kompozycji i formatu tekstu,</w:t>
      </w:r>
    </w:p>
    <w:p w14:paraId="265670D7" w14:textId="398817C4" w:rsidR="008C3449" w:rsidRPr="008C3449" w:rsidRDefault="008C3449" w:rsidP="00387F7D">
      <w:pPr>
        <w:spacing w:line="360" w:lineRule="auto"/>
      </w:pPr>
      <w:r w:rsidRPr="008C3449">
        <w:t>Dostępność to nie tylko słowa, ale także forma. Wielkość czcionki, kontrast, odstępy między liniami – wszystko to wpływa na czytelność.</w:t>
      </w:r>
    </w:p>
    <w:p w14:paraId="5D33B5CE" w14:textId="77777777" w:rsidR="008C3449" w:rsidRPr="008C3449" w:rsidRDefault="008C3449" w:rsidP="00387F7D">
      <w:pPr>
        <w:spacing w:line="360" w:lineRule="auto"/>
      </w:pPr>
      <w:r w:rsidRPr="008C3449">
        <w:t>Częstą barierą jest tekst zbity, drobny, bez wyraźnej struktury. Dobra praktyka to przestrzeń, nagłówki, listy i logiczny układ treści.</w:t>
      </w:r>
    </w:p>
    <w:p w14:paraId="4DF9AE5D" w14:textId="5B0932C2" w:rsidR="008C3449" w:rsidRPr="008C3449" w:rsidRDefault="008C3449" w:rsidP="00387F7D">
      <w:pPr>
        <w:spacing w:line="360" w:lineRule="auto"/>
      </w:pPr>
      <w:r w:rsidRPr="008C3449">
        <w:t>Kontrast to różnica pomiędzy kolorem tekstu a tłem. Jeżeli ta różnica jest zbyt mała, tekst staje się trudny lub wręcz niemożliwy do odczytania dla wielu osób. Dotyczy to nie tylko osób z wadami wzroku, ale także osób starszych, osób zmęczonych</w:t>
      </w:r>
      <w:r>
        <w:t>.</w:t>
      </w:r>
    </w:p>
    <w:p w14:paraId="7EA31726" w14:textId="4788F00D" w:rsidR="008C3449" w:rsidRPr="008C3449" w:rsidRDefault="008C3449" w:rsidP="00387F7D">
      <w:pPr>
        <w:spacing w:line="360" w:lineRule="auto"/>
      </w:pPr>
      <w:r w:rsidRPr="008C3449">
        <w:t xml:space="preserve">Złą praktyką jest stosowanie jasnoszarego tekstu na białym tle, pastelowych kolorów bez wyraźnego rozróżnienia albo tekstu umieszczonego na zdjęciu bez odpowiedniego przyciemnienia tła. </w:t>
      </w:r>
    </w:p>
    <w:p w14:paraId="51BC0630" w14:textId="6B6DF7D7" w:rsidR="008C3449" w:rsidRPr="008C3449" w:rsidRDefault="008C3449" w:rsidP="00387F7D">
      <w:pPr>
        <w:spacing w:line="360" w:lineRule="auto"/>
      </w:pPr>
      <w:r w:rsidRPr="008C3449">
        <w:t xml:space="preserve">Dobrą praktyką jest wysoki kontrast, na przykład ciemny tekst na jasnym tle albo jasny tekst na bardzo ciemnym tle. </w:t>
      </w:r>
    </w:p>
    <w:p w14:paraId="3546432B" w14:textId="77777777" w:rsidR="008C3449" w:rsidRPr="008C3449" w:rsidRDefault="008C3449" w:rsidP="00387F7D">
      <w:pPr>
        <w:spacing w:line="360" w:lineRule="auto"/>
      </w:pPr>
      <w:r w:rsidRPr="008C3449">
        <w:t xml:space="preserve">Drugi element to czcionki </w:t>
      </w:r>
      <w:proofErr w:type="spellStart"/>
      <w:r w:rsidRPr="008C3449">
        <w:t>bezszeryfowe</w:t>
      </w:r>
      <w:proofErr w:type="spellEnd"/>
      <w:r w:rsidRPr="008C3449">
        <w:t>.</w:t>
      </w:r>
      <w:r w:rsidRPr="008C3449">
        <w:br/>
        <w:t xml:space="preserve">Czcionki </w:t>
      </w:r>
      <w:proofErr w:type="spellStart"/>
      <w:r w:rsidRPr="008C3449">
        <w:t>bezszeryfowe</w:t>
      </w:r>
      <w:proofErr w:type="spellEnd"/>
      <w:r w:rsidRPr="008C3449">
        <w:t xml:space="preserve"> to takie, które nie mają ozdobnych zakończeń liter. Przykładami są Arial, Calibri, Verdana czy Open Sans. W przeciwieństwie do nich czcionki szeryfowe, takie jak Times New Roman, mają drobne „ogonki” i ozdobniki.</w:t>
      </w:r>
    </w:p>
    <w:p w14:paraId="5650217B" w14:textId="74C9DA21" w:rsidR="008C3449" w:rsidRPr="008C3449" w:rsidRDefault="008C3449" w:rsidP="00387F7D">
      <w:pPr>
        <w:spacing w:line="360" w:lineRule="auto"/>
      </w:pPr>
      <w:r w:rsidRPr="008C3449">
        <w:t>Dlaczego to ważne?</w:t>
      </w:r>
      <w:r w:rsidRPr="008C3449">
        <w:br/>
        <w:t xml:space="preserve">Czcionki </w:t>
      </w:r>
      <w:proofErr w:type="spellStart"/>
      <w:r w:rsidRPr="008C3449">
        <w:t>bezszeryfowe</w:t>
      </w:r>
      <w:proofErr w:type="spellEnd"/>
      <w:r w:rsidRPr="008C3449">
        <w:t xml:space="preserve"> są łatwiejsze do odczytania na ekranach, zwłaszcza na małych </w:t>
      </w:r>
      <w:r w:rsidRPr="008C3449">
        <w:lastRenderedPageBreak/>
        <w:t>ekranach telefonów i tabletów. Są też lepiej interpretowane przez osoby z dysleksją, osoby słabowidzące oraz użytkowników czytników ekranu.</w:t>
      </w:r>
    </w:p>
    <w:p w14:paraId="778ECD95" w14:textId="2BB0D9E9" w:rsidR="008C3449" w:rsidRDefault="008C3449" w:rsidP="008C3449">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10</w:t>
      </w:r>
    </w:p>
    <w:p w14:paraId="4431ED7A" w14:textId="7B0E19C9" w:rsidR="00B574BE" w:rsidRDefault="00B574BE" w:rsidP="00387F7D">
      <w:pPr>
        <w:spacing w:line="360" w:lineRule="auto"/>
      </w:pPr>
      <w:r>
        <w:t>Wytyczne ETR podpowiadają, jak konstruować zdania łatwe do zrozumienia. Przykład</w:t>
      </w:r>
      <w:r w:rsidRPr="00B574BE">
        <w:t xml:space="preserve"> pokazuje, jak niewielka zmiana języka może znacząco poprawić zrozumienie. Wiele firm używa języka formalnie poprawnego, ale kompletnie nieprzyjaznego dla odbiorcy.</w:t>
      </w:r>
    </w:p>
    <w:p w14:paraId="4442CA77" w14:textId="77777777" w:rsidR="00B574BE" w:rsidRPr="00B574BE" w:rsidRDefault="00B574BE" w:rsidP="00387F7D">
      <w:pPr>
        <w:spacing w:line="360" w:lineRule="auto"/>
      </w:pPr>
      <w:r w:rsidRPr="00B574BE">
        <w:t>Spójrzmy najpierw na przykład zdania oznaczonego jako trudne. Formalnie wszystko się tu zgadza. Zdanie jest poprawne językowo, zgodne z zasadami, brzmi „profesjonalnie”. Problem polega na tym, że dla wielu osób jest ono po prostu niezrozumiałe. Klient czyta je i nadal nie wie, co to dla niego oznacza w praktyce.</w:t>
      </w:r>
    </w:p>
    <w:p w14:paraId="515E10FE" w14:textId="77777777" w:rsidR="00B574BE" w:rsidRPr="00B574BE" w:rsidRDefault="00B574BE" w:rsidP="00387F7D">
      <w:pPr>
        <w:spacing w:line="360" w:lineRule="auto"/>
      </w:pPr>
      <w:r w:rsidRPr="00B574BE">
        <w:t>To jest bardzo częsta zła praktyka w firmach prywatnych — używanie języka, który jest bardziej zrozumiały dla prawników, specjalistów czy autorów regulaminów niż dla realnych odbiorców usług.</w:t>
      </w:r>
    </w:p>
    <w:p w14:paraId="20BED158" w14:textId="77777777" w:rsidR="00B574BE" w:rsidRPr="00B574BE" w:rsidRDefault="00B574BE" w:rsidP="00387F7D">
      <w:pPr>
        <w:spacing w:line="360" w:lineRule="auto"/>
      </w:pPr>
      <w:r w:rsidRPr="00B574BE">
        <w:t xml:space="preserve">Wersja w standardzie </w:t>
      </w:r>
      <w:proofErr w:type="spellStart"/>
      <w:r w:rsidRPr="00B574BE">
        <w:t>Easy</w:t>
      </w:r>
      <w:proofErr w:type="spellEnd"/>
      <w:r w:rsidRPr="00B574BE">
        <w:t xml:space="preserve"> To Read pokazuje zupełnie inne podejście. Zdanie jest krótsze, prostsze i od razu mówi, </w:t>
      </w:r>
      <w:r w:rsidRPr="00B574BE">
        <w:rPr>
          <w:b/>
          <w:bCs/>
        </w:rPr>
        <w:t>co to znaczy dla odbiorcy</w:t>
      </w:r>
      <w:r w:rsidRPr="00B574BE">
        <w:t>. Nie ma tu zbędnych abstrakcyjnych pojęć, nie ma strony biernej, nie ma ogólników. Jest konkret i jasny przekaz.</w:t>
      </w:r>
    </w:p>
    <w:p w14:paraId="4A703FF4" w14:textId="77777777" w:rsidR="00B574BE" w:rsidRPr="00B574BE" w:rsidRDefault="00B574BE" w:rsidP="00387F7D">
      <w:pPr>
        <w:spacing w:line="360" w:lineRule="auto"/>
      </w:pPr>
      <w:r w:rsidRPr="00B574BE">
        <w:t>Uproszczenie języka nie oznacza obniżenia jakości – wręcz przeciwnie, oznacza szacunek dla czasu i uwagi klienta.</w:t>
      </w:r>
    </w:p>
    <w:p w14:paraId="567B376A" w14:textId="2080BADC" w:rsidR="00B574BE" w:rsidRDefault="00B574BE" w:rsidP="00387F7D">
      <w:pPr>
        <w:spacing w:line="360" w:lineRule="auto"/>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11</w:t>
      </w:r>
    </w:p>
    <w:p w14:paraId="5CC78AA6" w14:textId="19F8775F" w:rsidR="00645EBC" w:rsidRDefault="007F3563" w:rsidP="00387F7D">
      <w:pPr>
        <w:spacing w:line="360" w:lineRule="auto"/>
      </w:pPr>
      <w:r w:rsidRPr="007F3563">
        <w:t>Audyt dostępności informacyjno-komunikacyjnej to narzędzie, które pozwala sprawdzić, czy sposób komunikacji danej organizacji jest rzeczywiście dostępny dla różnych grup użytkowników. Nie jest to kontrola „na zasadzie kary”, ale proces diagnostyczny, który pokazuje, gdzie występują bariery. Audyt obejmuje zarówno kanały kontaktu, jak i treści oraz sposób ich prezentacji. Sprawdza się między innymi, czy użytkownik ma alternatywę dla kontaktu telefonicznego, co jest kluczowe dla osób niesłyszących lub słabosłyszących. Analizowana jest także informacja o dostępnych kanałach komunikacji na stronie internetowej. Ważnym elementem audytu jest ocena rozwiązań wspierających słyszenie, takich jak pętle indukcyjne czy systemy alternatywne. Audyt zwraca również uwagę na oznakowanie i czytelność informacji w przestrzeni fizycznej i cyfrowej. Bardzo istotna jest też zrozumiałość informacji o samej organizacji – czym się zajmuje i jak można z niej skorzystać. Wyniki audytu pokazują konkretne obszary do poprawy. Dzięki temu audyt staje się punktem wyjścia do realnych zmian.</w:t>
      </w:r>
    </w:p>
    <w:p w14:paraId="533787B3" w14:textId="70E01973" w:rsidR="004E6429" w:rsidRDefault="004E6429" w:rsidP="004E6429">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2</w:t>
      </w:r>
    </w:p>
    <w:p w14:paraId="019832D7" w14:textId="77777777" w:rsidR="004E6429" w:rsidRPr="004E6429" w:rsidRDefault="004E6429" w:rsidP="00387F7D">
      <w:pPr>
        <w:spacing w:line="360" w:lineRule="auto"/>
      </w:pPr>
      <w:r w:rsidRPr="004E6429">
        <w:t xml:space="preserve">Ten slajd pokazuje, że dostępność informacyjno-komunikacyjna nie opiera się na jednym rozwiązaniu, lecz na zestawie spójnych praktyk. Pierwszym filarem są przyjazne </w:t>
      </w:r>
      <w:r w:rsidRPr="004E6429">
        <w:lastRenderedPageBreak/>
        <w:t>dokumenty i materiały, czyli takie, które można łatwo przeczytać, zrozumieć i przetworzyć. Drugim filarem jest komunikacja bezpośrednia, a więc sposób, w jaki pracownicy rozmawiają z klientami lub użytkownikami. Trzecim filarem jest jasny i zrozumiały język, który ogranicza ryzyko nieporozumień. Dobre praktyki są szczególnie ważne w kontekście audytów, ponieważ to one najczęściej są oceniane. Organizacje, które wdrażają dobre praktyki na co dzień, znacznie lepiej wypadają w audytach. Co istotne, dobre praktyki nie wymagają skomplikowanych technologii. Wymagają natomiast świadomości i konsekwencji. To właśnie one decydują o tym, czy dostępność jest realna, czy tylko deklarowana.</w:t>
      </w:r>
    </w:p>
    <w:p w14:paraId="456FED08" w14:textId="453EF778" w:rsidR="00233D5C" w:rsidRDefault="00233D5C" w:rsidP="00233D5C">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sidR="00387F7D">
        <w:rPr>
          <w:rFonts w:asciiTheme="majorHAnsi" w:eastAsiaTheme="majorEastAsia" w:hAnsiTheme="majorHAnsi" w:cstheme="majorBidi"/>
          <w:color w:val="0F4761" w:themeColor="accent1" w:themeShade="BF"/>
          <w:sz w:val="28"/>
          <w:szCs w:val="28"/>
        </w:rPr>
        <w:t>3</w:t>
      </w:r>
    </w:p>
    <w:p w14:paraId="7AA17E82" w14:textId="2C6A7438" w:rsidR="00387F7D" w:rsidRPr="006D79E7" w:rsidRDefault="006D79E7" w:rsidP="006D79E7">
      <w:pPr>
        <w:spacing w:line="360" w:lineRule="auto"/>
      </w:pPr>
      <w:r>
        <w:t>J</w:t>
      </w:r>
      <w:r w:rsidRPr="006D79E7">
        <w:t>asny i zrozumiały język to jeden z najczęściej wskazywanych problemów w audytach dostępności. Bardzo wiele informacji jest napisanych poprawnie formalnie, ale niezrozumiale dla odbiorcy. Używanie prostych, jednoznacznych sformułowań znacząco zwiększa dostępność komunikacji. Unikanie żargonu i skrótów jest szczególnie ważne dla osób z trudnościami poznawczymi lub językowymi. Krótkie zdania i akapity pomagają szybciej zrozumieć sens przekazu. Umieszczanie najważniejszych informacji na początku tekstu ułatwia orientację. Audytorzy często sprawdzają, czy użytkownik od razu wie, co ma zrobić. Zbyt skomplikowany język bywa traktowany jako bariera informacyjna. Jasny język zmniejsza też liczbę pytań i reklamacji. Dlatego jest on zarówno wymogiem dostępności, jak i dobrą praktyką organizacyjną.</w:t>
      </w:r>
    </w:p>
    <w:p w14:paraId="07EF4F01" w14:textId="496D33F3" w:rsidR="006D79E7" w:rsidRDefault="006D79E7" w:rsidP="006D79E7">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4</w:t>
      </w:r>
    </w:p>
    <w:p w14:paraId="4D2908D8" w14:textId="1E2B897C" w:rsidR="00387F7D" w:rsidRDefault="00670617" w:rsidP="006D79E7">
      <w:pPr>
        <w:spacing w:line="360" w:lineRule="auto"/>
        <w:rPr>
          <w:rFonts w:asciiTheme="majorHAnsi" w:eastAsiaTheme="majorEastAsia" w:hAnsiTheme="majorHAnsi" w:cstheme="majorBidi"/>
          <w:color w:val="0F4761" w:themeColor="accent1" w:themeShade="BF"/>
          <w:sz w:val="28"/>
          <w:szCs w:val="28"/>
        </w:rPr>
      </w:pPr>
      <w:r w:rsidRPr="00670617">
        <w:t>Dokumenty i materiały to jeden z kluczowych obszarów oceny w audycie dostępności. Bardzo często spotykanym problemem są pliki, które nie mają struktury nagłówków. Brak logicznego podziału sprawia, że dokument jest trudny do odczytania, zwłaszcza przy użyciu technologii asystujących. Stosowanie list punktowanych i numerowanych znacząco poprawia czytelność. Dodawanie opisów alternatywnych do grafik jest niezbędne dla osób korzystających z czytników ekranu. Audyty często wykazują, że grafiki przekazują istotne informacje, ale nie są opisane. Ważne jest także, aby dokumenty były możliwe do odczytu maszynowego. Skanowane pliki w formie obrazów są jedną z najczęstszych barier. Stosowanie OCR to podstawowy krok w kierunku dostępności. Przyjazne dokumenty ułatwiają także pracę wewnętrzną organizacji.</w:t>
      </w:r>
    </w:p>
    <w:p w14:paraId="3FEAAA54" w14:textId="18B61EF6" w:rsidR="00670617" w:rsidRDefault="00670617" w:rsidP="00670617">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5</w:t>
      </w:r>
    </w:p>
    <w:p w14:paraId="0776F993" w14:textId="231AB6E6" w:rsidR="00387F7D" w:rsidRPr="007D1BE3" w:rsidRDefault="007D1BE3" w:rsidP="007D1BE3">
      <w:pPr>
        <w:spacing w:line="360" w:lineRule="auto"/>
      </w:pPr>
      <w:r w:rsidRPr="007D1BE3">
        <w:t>Komunikacja bezpośrednia to obszar, który w audytach bywa trudny do zmierzenia, ale ma ogromne znaczenie praktyczne. Sposób, w jaki pracownik zwraca się do klienta, wpływa na realną dostępność usług. Patrzenie na osobę niesłyszącą i mówienie do niej bez odwracania twarzy ułatwia czytanie z ust. Niepoprawianie wózka czy sprzętu bez zgody jest wyrazem szacunku i profesjonalizmu. Danie użytkownikowi wystarczającej ilości czasu na reakcję zmniejsza stres. Zadawanie pytania o preferowaną formę komunikacji pomaga dostosować obsługę. Zwracanie się bezpośrednio do osoby, a nie do jej asystenta, wzmacnia poczucie podmiotowości. Audyty coraz częściej zwracają uwagę na procedury obsługi klienta. Szkolenia personelu są więc ważnym elementem dostępności. Komunikacja bezpośrednia to dostępność w praktyce, a nie na papierze.</w:t>
      </w:r>
    </w:p>
    <w:p w14:paraId="5CDFBCF2" w14:textId="3AE64904" w:rsidR="0097738B" w:rsidRDefault="0097738B" w:rsidP="0097738B">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6</w:t>
      </w:r>
    </w:p>
    <w:p w14:paraId="6ED6D045" w14:textId="77777777" w:rsidR="00D26D6E" w:rsidRDefault="00F96B17" w:rsidP="0097738B">
      <w:pPr>
        <w:spacing w:line="360" w:lineRule="auto"/>
      </w:pPr>
      <w:r w:rsidRPr="006B6F1B">
        <w:t>Aby zapewnić skuteczną kontrolę nad stanem dostępności podmiotów publicznych, w wprowadzono obowiązek raportowania raz na 4 lata stanu zapewniania dostępności przez zobowiązane ustawą podmioty. Złożenie pierwszych tego typu raportów zgodnie z UZD odbyło się do 31 marca 2021 r.  Na podstawie danych ze sporządzonych i przekazanych zgodnie z ustalonymi regułami raportów sporządzony został raport o stanie zapewniania dostępności osobom ze szczególnymi potrzebami w kraju. Dane o poziomie dostępności pochodzą z przyjętego wzoru raportu mającego postać ankiety wypełnianej przez pracowników podmiotów publicznych z całej Polski. Dzięki temu każdy biorący udział w badaniu podmiot musiał dokonać audytu i samooceny dostępności cyfrowej, architektonicznej i informacyjno-komunikacyjnej.</w:t>
      </w:r>
    </w:p>
    <w:p w14:paraId="193BEA2E" w14:textId="35B56AD6" w:rsidR="00387F7D" w:rsidRDefault="0097738B" w:rsidP="0097738B">
      <w:pPr>
        <w:spacing w:line="360" w:lineRule="auto"/>
      </w:pPr>
      <w:r w:rsidRPr="0097738B">
        <w:t xml:space="preserve"> W raporcie wskazuje się zarówno rozwiązania, jak i braki. Raportowanie wymusza systematyczne podejście do dostępności. Nie jest to jednorazowe działanie, lecz proces. Dane z raportów są analizowane na poziomie krajowym. To pokazuje, że dostępność jest monitorowana. Dla innych organizacji raporty te są cennym źródłem wiedzy. Pokazują one realny poziom wdrożeń.</w:t>
      </w:r>
    </w:p>
    <w:p w14:paraId="7AEC56AF" w14:textId="77777777" w:rsidR="00E63520" w:rsidRPr="005F71D2" w:rsidRDefault="00E63520" w:rsidP="00E63520">
      <w:pPr>
        <w:spacing w:line="360" w:lineRule="auto"/>
        <w:rPr>
          <w:rStyle w:val="Hipercze"/>
        </w:rPr>
      </w:pPr>
      <w:r>
        <w:t xml:space="preserve">Źródło: </w:t>
      </w:r>
      <w:r>
        <w:fldChar w:fldCharType="begin"/>
      </w:r>
      <w:r>
        <w:instrText>HYPERLINK "https://www.funduszeeuropejskie.gov.pl/media/137342/Raport_z_badania.pdf"</w:instrText>
      </w:r>
      <w:r>
        <w:fldChar w:fldCharType="separate"/>
      </w:r>
      <w:r w:rsidRPr="005F71D2">
        <w:rPr>
          <w:rStyle w:val="Hipercze"/>
        </w:rPr>
        <w:t>Raport o stanie zapewniania dostępności osobom ze szczególnymi potrzebami</w:t>
      </w:r>
    </w:p>
    <w:p w14:paraId="57C6742E" w14:textId="77777777" w:rsidR="00E63520" w:rsidRDefault="00E63520" w:rsidP="00E63520">
      <w:pPr>
        <w:spacing w:line="360" w:lineRule="auto"/>
      </w:pPr>
      <w:r w:rsidRPr="005F71D2">
        <w:rPr>
          <w:rStyle w:val="Hipercze"/>
        </w:rPr>
        <w:t>przez podmioty publiczne w Polsce według stanu na 1 stycznia 2021 r.</w:t>
      </w:r>
      <w:r>
        <w:fldChar w:fldCharType="end"/>
      </w:r>
      <w:r>
        <w:t xml:space="preserve"> </w:t>
      </w:r>
    </w:p>
    <w:p w14:paraId="39D8800D" w14:textId="2AA9A311" w:rsidR="0056653F" w:rsidRDefault="0056653F" w:rsidP="0056653F">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7</w:t>
      </w:r>
    </w:p>
    <w:p w14:paraId="7AA8FF74" w14:textId="50A88E85" w:rsidR="00387F7D" w:rsidRDefault="0056653F" w:rsidP="0097738B">
      <w:pPr>
        <w:spacing w:line="360" w:lineRule="auto"/>
      </w:pPr>
      <w:r w:rsidRPr="0056653F">
        <w:t xml:space="preserve">Monitoring dostępności informacyjno-komunikacyjnej </w:t>
      </w:r>
      <w:r w:rsidR="00F447AE">
        <w:t>-</w:t>
      </w:r>
      <w:r w:rsidR="00D26D6E">
        <w:t>raportem</w:t>
      </w:r>
      <w:r w:rsidRPr="0056653F">
        <w:t xml:space="preserve"> objęło różne metody kontaktu, z których korzystają użytkownicy. Sprawdzano między innymi kontakt telefoniczny i korespondencyjny. Analizowano także możliwość przesyłania wiadomości tekstowych. Ważnym elementem była komunikacja audiowizualna. Uwzględniono również dostęp do tłumacza języka migowego. Monitoring pokazuje, które kanały są najczęściej dostępne, a które rzadko stosowane. Dane te ujawniają luki w systemach komunikacji. Są one podstawą do rekomendacji zmian. Monitoring pełni funkcję kontrolną i edukacyjną jednocześnie.</w:t>
      </w:r>
    </w:p>
    <w:p w14:paraId="0104F9B9" w14:textId="393F1D37" w:rsidR="00A44C7D" w:rsidRDefault="00A44C7D" w:rsidP="00A44C7D">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8</w:t>
      </w:r>
    </w:p>
    <w:p w14:paraId="4ED3261D" w14:textId="39EFE661" w:rsidR="00A8504B" w:rsidRPr="000749C3" w:rsidRDefault="00A8504B" w:rsidP="000749C3">
      <w:pPr>
        <w:spacing w:line="360" w:lineRule="auto"/>
      </w:pPr>
      <w:r w:rsidRPr="000749C3">
        <w:t>Zebrane dane w zakresie dostępności podmiotów publicznych pokazują poziom dostępności podmiotów publicznych jako odsetek pozytywnych odpowiedzi na poszczególne pytania formularza raportu badania dostępności.</w:t>
      </w:r>
    </w:p>
    <w:p w14:paraId="4B2F8929" w14:textId="34E83A1E" w:rsidR="00A8504B" w:rsidRDefault="000749C3" w:rsidP="000749C3">
      <w:pPr>
        <w:spacing w:line="360" w:lineRule="auto"/>
      </w:pPr>
      <w:r w:rsidRPr="000749C3">
        <w:t>Celem ułatwienia interpretacji i umożliwienia porównań opracow</w:t>
      </w:r>
      <w:r>
        <w:t>ano</w:t>
      </w:r>
      <w:r w:rsidRPr="000749C3">
        <w:t xml:space="preserve"> pomocniczy tzw. wskaźnik dostępności (</w:t>
      </w:r>
      <w:proofErr w:type="spellStart"/>
      <w:r w:rsidRPr="000749C3">
        <w:t>accessibility</w:t>
      </w:r>
      <w:proofErr w:type="spellEnd"/>
      <w:r w:rsidRPr="000749C3">
        <w:t xml:space="preserve"> index). Jest to miernik poziomu dostępności wyrażany w skali od 0 do 1, gdzie 0 oznacza brak spełnienia wymogów, a 1 pełne ich spełnienie. Częściowe zapewnienie dostępności wyrażone jest jako procentowy udział elementów składających się na całość, tj. odsetek spełnionych wymagań dla jednostki lub odsetek jednostek spełniających wymagania dla danej cechy. Im wyższy wskaźnik tym wyższy poziom dostępności.</w:t>
      </w:r>
    </w:p>
    <w:p w14:paraId="4C7FCDA4" w14:textId="77777777" w:rsidR="0053488C" w:rsidRDefault="0053488C" w:rsidP="000749C3">
      <w:pPr>
        <w:spacing w:line="360" w:lineRule="auto"/>
      </w:pPr>
      <w:r w:rsidRPr="0053488C">
        <w:t>Wskaźnik dostępności informacyjno-komunikacyjnej - do obliczenia wskaźnika wzięto pod uwagę przekazane przez podmioty informacje w zakresie odsetka:</w:t>
      </w:r>
    </w:p>
    <w:p w14:paraId="62AB9304" w14:textId="3724DEFE" w:rsidR="0053488C" w:rsidRDefault="0053488C" w:rsidP="000749C3">
      <w:pPr>
        <w:spacing w:line="360" w:lineRule="auto"/>
      </w:pPr>
      <w:r w:rsidRPr="0053488C">
        <w:t xml:space="preserve"> </w:t>
      </w:r>
      <w:r w:rsidRPr="0053488C">
        <w:sym w:font="Symbol" w:char="F0B7"/>
      </w:r>
      <w:r w:rsidRPr="0053488C">
        <w:t xml:space="preserve"> podmiotów zapewniających osobom ze szczególnymi potrzebami obsługę z wykorzystaniem następujących sposobów/środków wspierających komunikowanie się: kontakt telefoniczny; kontakt korespondencyjny;</w:t>
      </w:r>
      <w:r>
        <w:t xml:space="preserve"> </w:t>
      </w:r>
      <w:r w:rsidRPr="0053488C">
        <w:t xml:space="preserve"> przesyłanie wiadomości tekstowych, w tym SMS, MMS i przez komunikatory internetowe; komunikację audiowizualną, w tym z wykorzystaniem komunikatorów internetowych; o przesyłanie faksów; wykorzystanie tłumacza języka migowego przez strony internetowe i/lub aplikacje (tłumaczenie on-line); pomoc tłumacza języka migowego - kontakt osobisty; kontakt z pomocą tłumacza-przewodnika (kontakt osobisty); </w:t>
      </w:r>
    </w:p>
    <w:p w14:paraId="318BF58D" w14:textId="77777777" w:rsidR="0053488C" w:rsidRDefault="0053488C" w:rsidP="000749C3">
      <w:pPr>
        <w:spacing w:line="360" w:lineRule="auto"/>
      </w:pPr>
      <w:r w:rsidRPr="0053488C">
        <w:sym w:font="Symbol" w:char="F0B7"/>
      </w:r>
      <w:r w:rsidRPr="0053488C">
        <w:t xml:space="preserve"> podmiotów posiadających urządzenia lub środki techniczne do obsługi osób słabosłyszących, takich jak np. pętle indukcyjne, systemy FM, IR, Bluetooth itp.;</w:t>
      </w:r>
    </w:p>
    <w:p w14:paraId="477D147C" w14:textId="2D8E2F63" w:rsidR="0053488C" w:rsidRDefault="0053488C" w:rsidP="000749C3">
      <w:pPr>
        <w:spacing w:line="360" w:lineRule="auto"/>
      </w:pPr>
      <w:r w:rsidRPr="0053488C">
        <w:sym w:font="Symbol" w:char="F0B7"/>
      </w:r>
      <w:r w:rsidRPr="0053488C">
        <w:t xml:space="preserve"> podmiotów posiadających strony www (1 lub więcej) zapewniających na nich informacje o zakresie swojej działalności (głównych zadaniach) w postaci: tekstu odczytywalnego maszynowo; nagrania treści w polskim języku migowym (PJM) w formie pliku wideo; informacji w tekście łatwym do czytania (ETR);</w:t>
      </w:r>
    </w:p>
    <w:p w14:paraId="5B1D71F3" w14:textId="77777777" w:rsidR="0053488C" w:rsidRDefault="0053488C" w:rsidP="000749C3">
      <w:pPr>
        <w:spacing w:line="360" w:lineRule="auto"/>
      </w:pPr>
      <w:r w:rsidRPr="0053488C">
        <w:sym w:font="Symbol" w:char="F0B7"/>
      </w:r>
      <w:r w:rsidRPr="0053488C">
        <w:t xml:space="preserve"> stron www, na których podmiot zapewnia informację o zakresie swojej działalności w postaci informacji w tekście łatwym do czytania (ETR); </w:t>
      </w:r>
    </w:p>
    <w:p w14:paraId="65EC6BC7" w14:textId="77777777" w:rsidR="0053488C" w:rsidRDefault="0053488C" w:rsidP="000749C3">
      <w:pPr>
        <w:spacing w:line="360" w:lineRule="auto"/>
      </w:pPr>
      <w:r w:rsidRPr="0053488C">
        <w:sym w:font="Symbol" w:char="F0B7"/>
      </w:r>
      <w:r w:rsidRPr="0053488C">
        <w:t xml:space="preserve"> stron www, na których podmiot zapewnia informację o zakresie swojej działalności w postaci nagrania treści w polskim języku migowym (PJM) w postaci pliku wideo;</w:t>
      </w:r>
    </w:p>
    <w:p w14:paraId="28E7F07E" w14:textId="39EFA356" w:rsidR="0053488C" w:rsidRPr="000749C3" w:rsidRDefault="0053488C" w:rsidP="000749C3">
      <w:pPr>
        <w:spacing w:line="360" w:lineRule="auto"/>
      </w:pPr>
      <w:r w:rsidRPr="0053488C">
        <w:t xml:space="preserve"> </w:t>
      </w:r>
      <w:r w:rsidRPr="0053488C">
        <w:sym w:font="Symbol" w:char="F0B7"/>
      </w:r>
      <w:r w:rsidRPr="0053488C">
        <w:t xml:space="preserve"> stron www, na których podmiot zapewnia informację o zakresie swojej działalności w postaci tekstu odczytywalnego maszynow</w:t>
      </w:r>
      <w:r>
        <w:t>o</w:t>
      </w:r>
    </w:p>
    <w:p w14:paraId="493BAE64" w14:textId="0AC04DCF" w:rsidR="00387F7D" w:rsidRPr="00A44C7D" w:rsidRDefault="00A44C7D" w:rsidP="00A44C7D">
      <w:pPr>
        <w:spacing w:line="360" w:lineRule="auto"/>
      </w:pPr>
      <w:r w:rsidRPr="00A44C7D">
        <w:t>Wyniki monitoringu pokazują, że średnia pozytywnych odpowiedzi wynosiła około 31 procent. Oznacza to, że większość badanych obszarów nie spełniała wymagań dostępności. Różnice regionalne okazały się niewielkie, co wskazuje na problem systemowy. Dostępność informacyjno-komunikacyjna jest wyzwaniem w całym kraju. Wyniki te pokazują, że wdrażanie dostępności postępuje wolno. Jednocześnie dają one jasny sygnał, gdzie potrzebne są działania. Dane liczbowe ułatwiają planowanie zmian. Są też argumentem w rozmowach z decydentami. Monitoring nie ma na celu piętnowania, lecz poprawę sytuacji. Wyniki stanowią punkt odniesienia dla kolejnych lat.</w:t>
      </w:r>
    </w:p>
    <w:p w14:paraId="1408DA63" w14:textId="13A14F6C" w:rsidR="00D37BA7" w:rsidRDefault="00D37BA7" w:rsidP="00D37BA7">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1</w:t>
      </w:r>
      <w:r>
        <w:rPr>
          <w:rFonts w:asciiTheme="majorHAnsi" w:eastAsiaTheme="majorEastAsia" w:hAnsiTheme="majorHAnsi" w:cstheme="majorBidi"/>
          <w:color w:val="0F4761" w:themeColor="accent1" w:themeShade="BF"/>
          <w:sz w:val="28"/>
          <w:szCs w:val="28"/>
        </w:rPr>
        <w:t>9</w:t>
      </w:r>
    </w:p>
    <w:p w14:paraId="7F1EE4E3" w14:textId="23C29584" w:rsidR="002C0F37" w:rsidRPr="002C0F37" w:rsidRDefault="002C0F37" w:rsidP="002C0F37">
      <w:pPr>
        <w:spacing w:line="360" w:lineRule="auto"/>
      </w:pPr>
      <w:r w:rsidRPr="002C0F37">
        <w:t>Pozostałe wyniki monitoringu</w:t>
      </w:r>
      <w:r>
        <w:t xml:space="preserve"> - to</w:t>
      </w:r>
      <w:r w:rsidRPr="002C0F37">
        <w:t xml:space="preserve"> szczegółowe dane, które są szczególnie wymowne. Mniej niż 2 procent podmiotów publicznych posiadało urządzenia wspierające osoby słabosłyszące. To bardzo niski wynik, biorąc pod uwagę skalę potrzeb. Dostępność informacji w formie tekstu odczytywalnego maszynowo była ograniczona. Jeszcze rzadziej występowały treści w polskim języku migowym. Tekst łatwy do czytania również nie był standardem. Te dane pokazują, że wiele podstawowych rozwiązań nie jest wdrożonych. Monitoring ujawnia realne bariery, z jakimi mierzą się użytkownicy. Dane te są ważnym argumentem za audytami. Pokazują, że bez systemowych działań niewiele się zmienia. To także ostrzeżenie przed odkładaniem dostępności na późn</w:t>
      </w:r>
      <w:r>
        <w:t>iej.</w:t>
      </w:r>
    </w:p>
    <w:p w14:paraId="65120185" w14:textId="123E12D7" w:rsidR="00971DAA" w:rsidRDefault="00971DAA" w:rsidP="00971DAA">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20</w:t>
      </w:r>
    </w:p>
    <w:p w14:paraId="7F96E078" w14:textId="77777777" w:rsidR="00971DAA" w:rsidRDefault="00366ECD" w:rsidP="008370DC">
      <w:pPr>
        <w:spacing w:line="360" w:lineRule="auto"/>
      </w:pPr>
      <w:r w:rsidRPr="00366ECD">
        <w:t xml:space="preserve">Jeszcze krótkie przypomnienie z informacjami o naszym projekcie. Projekt realizujemy na terenie całej Polski w okresie od 1 stycznia 2025 roku do 31 grudnia 2027 roku. Projekt kierujemy do przedsiębiorców i ich pracownic oraz 14 pracowników z mikro, małych, średnich oraz dużych firm, zainteresowanych zapewnieniem lub poprawą dostępności swoich produktów i/lub usług. Naszym celem jest podniesienie kompetencji pracownic oraz pracowników w zakresie dostępności produktów i usług, w tym ich uniwersalnego projektowania oraz wykorzystania rozwiązań uniwersalnego projektowania. </w:t>
      </w:r>
    </w:p>
    <w:p w14:paraId="5E1E5481" w14:textId="3D0EEF1B" w:rsidR="00971DAA" w:rsidRDefault="00971DAA" w:rsidP="00971DAA">
      <w:pPr>
        <w:rPr>
          <w:rFonts w:asciiTheme="majorHAnsi" w:eastAsiaTheme="majorEastAsia" w:hAnsiTheme="majorHAnsi" w:cstheme="majorBidi"/>
          <w:color w:val="0F4761" w:themeColor="accent1" w:themeShade="BF"/>
          <w:sz w:val="28"/>
          <w:szCs w:val="28"/>
        </w:rPr>
      </w:pPr>
      <w:r w:rsidRPr="00645EBC">
        <w:rPr>
          <w:rFonts w:asciiTheme="majorHAnsi" w:eastAsiaTheme="majorEastAsia" w:hAnsiTheme="majorHAnsi" w:cstheme="majorBidi"/>
          <w:color w:val="0F4761" w:themeColor="accent1" w:themeShade="BF"/>
          <w:sz w:val="28"/>
          <w:szCs w:val="28"/>
        </w:rPr>
        <w:t xml:space="preserve">Slajd </w:t>
      </w:r>
      <w:r>
        <w:rPr>
          <w:rFonts w:asciiTheme="majorHAnsi" w:eastAsiaTheme="majorEastAsia" w:hAnsiTheme="majorHAnsi" w:cstheme="majorBidi"/>
          <w:color w:val="0F4761" w:themeColor="accent1" w:themeShade="BF"/>
          <w:sz w:val="28"/>
          <w:szCs w:val="28"/>
        </w:rPr>
        <w:t>2</w:t>
      </w:r>
      <w:r>
        <w:rPr>
          <w:rFonts w:asciiTheme="majorHAnsi" w:eastAsiaTheme="majorEastAsia" w:hAnsiTheme="majorHAnsi" w:cstheme="majorBidi"/>
          <w:color w:val="0F4761" w:themeColor="accent1" w:themeShade="BF"/>
          <w:sz w:val="28"/>
          <w:szCs w:val="28"/>
        </w:rPr>
        <w:t>1</w:t>
      </w:r>
    </w:p>
    <w:p w14:paraId="6DC55B4F" w14:textId="4C9CC728" w:rsidR="00366ECD" w:rsidRDefault="00366ECD" w:rsidP="00387F7D">
      <w:pPr>
        <w:spacing w:line="360" w:lineRule="auto"/>
      </w:pPr>
      <w:r w:rsidRPr="00366ECD">
        <w:t>Jeśli chcesz dowiedzieć się więcej o dostępności, zapraszamy Cię na nasze bezpłatne szkolenia. Więcej informacji znajdziesz na naszej stronie internetowej (kliknij, aby przejść do strony internetowej: zyskzdostepnosci.pl) lub na naszym profilu na platformie Facebook (kliknij, aby przejść na profil na platformie Facebook: @ZyskzDostepności).</w:t>
      </w:r>
    </w:p>
    <w:sectPr w:rsidR="00366E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60D8D"/>
    <w:multiLevelType w:val="hybridMultilevel"/>
    <w:tmpl w:val="3834B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4AF0735"/>
    <w:multiLevelType w:val="hybridMultilevel"/>
    <w:tmpl w:val="3C2E1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7906D33"/>
    <w:multiLevelType w:val="multilevel"/>
    <w:tmpl w:val="0A70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146757"/>
    <w:multiLevelType w:val="multilevel"/>
    <w:tmpl w:val="90441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3138463">
    <w:abstractNumId w:val="3"/>
  </w:num>
  <w:num w:numId="2" w16cid:durableId="113334451">
    <w:abstractNumId w:val="2"/>
  </w:num>
  <w:num w:numId="3" w16cid:durableId="1635136403">
    <w:abstractNumId w:val="1"/>
  </w:num>
  <w:num w:numId="4" w16cid:durableId="176602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CD"/>
    <w:rsid w:val="00017AE5"/>
    <w:rsid w:val="000409B0"/>
    <w:rsid w:val="000749C3"/>
    <w:rsid w:val="00233D5C"/>
    <w:rsid w:val="00263869"/>
    <w:rsid w:val="002C0F37"/>
    <w:rsid w:val="00366ECD"/>
    <w:rsid w:val="00387F7D"/>
    <w:rsid w:val="003974C6"/>
    <w:rsid w:val="004A0AB5"/>
    <w:rsid w:val="004A5718"/>
    <w:rsid w:val="004B2F5F"/>
    <w:rsid w:val="004E6429"/>
    <w:rsid w:val="0053488C"/>
    <w:rsid w:val="0056653F"/>
    <w:rsid w:val="005E35D5"/>
    <w:rsid w:val="005F71D2"/>
    <w:rsid w:val="00645EBC"/>
    <w:rsid w:val="00670617"/>
    <w:rsid w:val="006B6F1B"/>
    <w:rsid w:val="006D79E7"/>
    <w:rsid w:val="007D1BE3"/>
    <w:rsid w:val="007F3563"/>
    <w:rsid w:val="008370DC"/>
    <w:rsid w:val="008C3449"/>
    <w:rsid w:val="00971DAA"/>
    <w:rsid w:val="0097738B"/>
    <w:rsid w:val="00A135AF"/>
    <w:rsid w:val="00A44C7D"/>
    <w:rsid w:val="00A8504B"/>
    <w:rsid w:val="00AA5A69"/>
    <w:rsid w:val="00B052C9"/>
    <w:rsid w:val="00B574BE"/>
    <w:rsid w:val="00D243F9"/>
    <w:rsid w:val="00D26D6E"/>
    <w:rsid w:val="00D37BA7"/>
    <w:rsid w:val="00E63520"/>
    <w:rsid w:val="00E81A73"/>
    <w:rsid w:val="00E92AB5"/>
    <w:rsid w:val="00EA42EF"/>
    <w:rsid w:val="00F37112"/>
    <w:rsid w:val="00F447AE"/>
    <w:rsid w:val="00F96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609B"/>
  <w15:chartTrackingRefBased/>
  <w15:docId w15:val="{12DED61A-20D2-4DD1-801F-60BDBB9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6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66EC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66EC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66EC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66E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6E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6E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6E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6EC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66EC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66EC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66EC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66EC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66E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6E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6E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6ECD"/>
    <w:rPr>
      <w:rFonts w:eastAsiaTheme="majorEastAsia" w:cstheme="majorBidi"/>
      <w:color w:val="272727" w:themeColor="text1" w:themeTint="D8"/>
    </w:rPr>
  </w:style>
  <w:style w:type="paragraph" w:styleId="Tytu">
    <w:name w:val="Title"/>
    <w:basedOn w:val="Normalny"/>
    <w:next w:val="Normalny"/>
    <w:link w:val="TytuZnak"/>
    <w:uiPriority w:val="10"/>
    <w:qFormat/>
    <w:rsid w:val="00366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6E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6E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6E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6ECD"/>
    <w:pPr>
      <w:spacing w:before="160"/>
      <w:jc w:val="center"/>
    </w:pPr>
    <w:rPr>
      <w:i/>
      <w:iCs/>
      <w:color w:val="404040" w:themeColor="text1" w:themeTint="BF"/>
    </w:rPr>
  </w:style>
  <w:style w:type="character" w:customStyle="1" w:styleId="CytatZnak">
    <w:name w:val="Cytat Znak"/>
    <w:basedOn w:val="Domylnaczcionkaakapitu"/>
    <w:link w:val="Cytat"/>
    <w:uiPriority w:val="29"/>
    <w:rsid w:val="00366ECD"/>
    <w:rPr>
      <w:i/>
      <w:iCs/>
      <w:color w:val="404040" w:themeColor="text1" w:themeTint="BF"/>
    </w:rPr>
  </w:style>
  <w:style w:type="paragraph" w:styleId="Akapitzlist">
    <w:name w:val="List Paragraph"/>
    <w:basedOn w:val="Normalny"/>
    <w:uiPriority w:val="34"/>
    <w:qFormat/>
    <w:rsid w:val="00366ECD"/>
    <w:pPr>
      <w:ind w:left="720"/>
      <w:contextualSpacing/>
    </w:pPr>
  </w:style>
  <w:style w:type="character" w:styleId="Wyrnienieintensywne">
    <w:name w:val="Intense Emphasis"/>
    <w:basedOn w:val="Domylnaczcionkaakapitu"/>
    <w:uiPriority w:val="21"/>
    <w:qFormat/>
    <w:rsid w:val="00366ECD"/>
    <w:rPr>
      <w:i/>
      <w:iCs/>
      <w:color w:val="0F4761" w:themeColor="accent1" w:themeShade="BF"/>
    </w:rPr>
  </w:style>
  <w:style w:type="paragraph" w:styleId="Cytatintensywny">
    <w:name w:val="Intense Quote"/>
    <w:basedOn w:val="Normalny"/>
    <w:next w:val="Normalny"/>
    <w:link w:val="CytatintensywnyZnak"/>
    <w:uiPriority w:val="30"/>
    <w:qFormat/>
    <w:rsid w:val="0036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66ECD"/>
    <w:rPr>
      <w:i/>
      <w:iCs/>
      <w:color w:val="0F4761" w:themeColor="accent1" w:themeShade="BF"/>
    </w:rPr>
  </w:style>
  <w:style w:type="character" w:styleId="Odwoanieintensywne">
    <w:name w:val="Intense Reference"/>
    <w:basedOn w:val="Domylnaczcionkaakapitu"/>
    <w:uiPriority w:val="32"/>
    <w:qFormat/>
    <w:rsid w:val="00366ECD"/>
    <w:rPr>
      <w:b/>
      <w:bCs/>
      <w:smallCaps/>
      <w:color w:val="0F4761" w:themeColor="accent1" w:themeShade="BF"/>
      <w:spacing w:val="5"/>
    </w:rPr>
  </w:style>
  <w:style w:type="paragraph" w:styleId="NormalnyWeb">
    <w:name w:val="Normal (Web)"/>
    <w:basedOn w:val="Normalny"/>
    <w:uiPriority w:val="99"/>
    <w:semiHidden/>
    <w:unhideWhenUsed/>
    <w:rsid w:val="00B574BE"/>
    <w:rPr>
      <w:rFonts w:ascii="Times New Roman" w:hAnsi="Times New Roman" w:cs="Times New Roman"/>
    </w:rPr>
  </w:style>
  <w:style w:type="character" w:styleId="Hipercze">
    <w:name w:val="Hyperlink"/>
    <w:basedOn w:val="Domylnaczcionkaakapitu"/>
    <w:uiPriority w:val="99"/>
    <w:unhideWhenUsed/>
    <w:rsid w:val="005F71D2"/>
    <w:rPr>
      <w:color w:val="467886" w:themeColor="hyperlink"/>
      <w:u w:val="single"/>
    </w:rPr>
  </w:style>
  <w:style w:type="character" w:styleId="Nierozpoznanawzmianka">
    <w:name w:val="Unresolved Mention"/>
    <w:basedOn w:val="Domylnaczcionkaakapitu"/>
    <w:uiPriority w:val="99"/>
    <w:semiHidden/>
    <w:unhideWhenUsed/>
    <w:rsid w:val="005F7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sap.sejm.gov.pl/isap.nsf/DocDetails.xsp?id=WDU20190001696"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2828</Words>
  <Characters>16971</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Olejniczak</dc:creator>
  <cp:keywords/>
  <dc:description/>
  <cp:lastModifiedBy>Aleksandra Olejniczak</cp:lastModifiedBy>
  <cp:revision>2</cp:revision>
  <dcterms:created xsi:type="dcterms:W3CDTF">2025-12-16T16:17:00Z</dcterms:created>
  <dcterms:modified xsi:type="dcterms:W3CDTF">2025-12-16T16:17:00Z</dcterms:modified>
</cp:coreProperties>
</file>